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94808F1" w:rsidR="00055BC9" w:rsidRDefault="009C3FC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EA8D007">
                    <wp:simplePos x="0" y="0"/>
                    <wp:positionH relativeFrom="margin">
                      <wp:posOffset>4721778</wp:posOffset>
                    </wp:positionH>
                    <wp:positionV relativeFrom="topMargin">
                      <wp:posOffset>246490</wp:posOffset>
                    </wp:positionV>
                    <wp:extent cx="1689680" cy="508959"/>
                    <wp:effectExtent l="0" t="0" r="6350" b="571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89680" cy="50895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CF9C702" w:rsidR="00313E59" w:rsidRDefault="009E554F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</w:t>
                                </w:r>
                                <w:r>
                                  <w:rPr>
                                    <w:rFonts w:ascii="Calibri" w:hAnsi="Calibri" w:cs="Calibr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 </w:t>
                                </w:r>
                                <w:r w:rsidR="0054586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31 </w:t>
                                </w:r>
                                <w:r w:rsidR="009C3F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</w:t>
                                </w:r>
                                <w:r w:rsidR="005A758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1.8pt;margin-top:19.4pt;width:133.05pt;height:40.1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CF9C702" w:rsidR="00313E59" w:rsidRDefault="009E554F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</w:t>
                          </w: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24"/>
                              <w:szCs w:val="24"/>
                            </w:rPr>
                            <w:t> </w:t>
                          </w:r>
                          <w:r w:rsidR="0054586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31 </w:t>
                          </w:r>
                          <w:r w:rsidR="009C3F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</w:t>
                          </w:r>
                          <w:r w:rsidR="005A758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5E690A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5D879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B531452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75A254D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B531452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846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75A254D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7846D1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FC9C4BC" w14:textId="77777777" w:rsidR="00884BA0" w:rsidRDefault="00884BA0" w:rsidP="007846D1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51374734" w14:textId="1AAE91B3" w:rsidR="00313E59" w:rsidRPr="00005185" w:rsidRDefault="00090582" w:rsidP="007846D1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Lot </w:t>
                                </w:r>
                                <w:r w:rsidR="0067159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3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671596" w:rsidRPr="0067159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et corrective des tours de séchage parachutes sur le site de Cugnaux (31)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FC9C4BC" w14:textId="77777777" w:rsidR="00884BA0" w:rsidRDefault="00884BA0" w:rsidP="007846D1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51374734" w14:textId="1AAE91B3" w:rsidR="00313E59" w:rsidRPr="00005185" w:rsidRDefault="00090582" w:rsidP="007846D1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Lot </w:t>
                          </w:r>
                          <w:r w:rsidR="0067159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3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="00671596" w:rsidRPr="0067159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et corrective des tours de séchage parachutes sur le site de Cugnaux (31)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671596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3F182CB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pièces détachées sur la base : </w:t>
            </w:r>
          </w:p>
          <w:p w14:paraId="78D5E3CC" w14:textId="77777777" w:rsid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Des mesures prises pour valorisation la réparation plutôt que le remplacement d’une pièce ; </w:t>
            </w:r>
          </w:p>
          <w:p w14:paraId="513746FC" w14:textId="5AB55049" w:rsidR="00590B00" w:rsidRP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315742">
              <w:rPr>
                <w:rFonts w:cs="Arial"/>
                <w:noProof/>
                <w:sz w:val="18"/>
                <w:szCs w:val="18"/>
              </w:rPr>
              <w:t>- Des mesures de recours aux pièces détachées issues du réemploi, réutilisées ou recyclées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1022AEB2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déchets sur la base : </w:t>
            </w:r>
          </w:p>
          <w:p w14:paraId="1D949744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mesures prises pour la mise en place ou l’utilisa</w:t>
            </w:r>
            <w:r>
              <w:rPr>
                <w:rFonts w:cs="Arial"/>
                <w:noProof/>
                <w:sz w:val="18"/>
                <w:szCs w:val="18"/>
              </w:rPr>
              <w:t>tion d’une filière de recyclage</w:t>
            </w:r>
            <w:r w:rsidRPr="00866B44">
              <w:rPr>
                <w:rFonts w:cs="Arial"/>
                <w:noProof/>
                <w:sz w:val="18"/>
                <w:szCs w:val="18"/>
              </w:rPr>
              <w:t xml:space="preserve">; </w:t>
            </w:r>
          </w:p>
          <w:p w14:paraId="51374701" w14:textId="687BD2CF" w:rsidR="003474AD" w:rsidRPr="001D569F" w:rsidRDefault="00315742" w:rsidP="003157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dispositions prises pour l’utilisation de TrackDéchets.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60AD0C68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Mise en œuvre d'actions écoresponsables sur la base des mesures prises pour limiter l’impact carbonne de l’activité dans :</w:t>
            </w:r>
          </w:p>
          <w:p w14:paraId="69C1DF66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Les déplacements (véhicules propres, écoconduite etc.) ; </w:t>
            </w:r>
          </w:p>
          <w:p w14:paraId="51374705" w14:textId="4978133F" w:rsidR="003474AD" w:rsidRPr="00315742" w:rsidRDefault="00315742" w:rsidP="00F922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cs="Arial"/>
                <w:noProof/>
                <w:sz w:val="18"/>
                <w:szCs w:val="18"/>
              </w:rPr>
              <w:t>- d</w:t>
            </w:r>
            <w:r w:rsidRPr="00315742">
              <w:rPr>
                <w:rFonts w:cs="Arial"/>
                <w:noProof/>
                <w:sz w:val="18"/>
                <w:szCs w:val="18"/>
              </w:rPr>
              <w:t>es approvisionnements</w:t>
            </w:r>
            <w:r w:rsidR="00F9221D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9221D" w:rsidRPr="003B66F6" w14:paraId="6B34DE33" w14:textId="77777777" w:rsidTr="00F36E82">
        <w:tc>
          <w:tcPr>
            <w:tcW w:w="9067" w:type="dxa"/>
            <w:shd w:val="clear" w:color="auto" w:fill="auto"/>
          </w:tcPr>
          <w:p w14:paraId="49A437DE" w14:textId="2D08E6BC" w:rsidR="00F9221D" w:rsidRPr="00866B44" w:rsidRDefault="00F9221D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F9221D">
              <w:rPr>
                <w:rFonts w:cs="Arial"/>
                <w:noProof/>
                <w:sz w:val="18"/>
                <w:szCs w:val="18"/>
              </w:rPr>
              <w:t>Dispositon sociales specifiques mises en œuvre dans le cadre du marché pour favoriser l’égalité professionnelle femmes / hommes, l’insertion des personnes éloignées de l’emploi ou en situation de handicap</w:t>
            </w:r>
          </w:p>
        </w:tc>
        <w:tc>
          <w:tcPr>
            <w:tcW w:w="4927" w:type="dxa"/>
            <w:shd w:val="clear" w:color="auto" w:fill="auto"/>
          </w:tcPr>
          <w:p w14:paraId="3C001BBC" w14:textId="77777777" w:rsidR="00F9221D" w:rsidRPr="003B66F6" w:rsidRDefault="00F9221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88813" w14:textId="77777777" w:rsidR="00EB6DB5" w:rsidRDefault="00EB6DB5" w:rsidP="00EA6B59">
      <w:pPr>
        <w:spacing w:after="0" w:line="240" w:lineRule="auto"/>
      </w:pPr>
      <w:r>
        <w:separator/>
      </w:r>
    </w:p>
  </w:endnote>
  <w:endnote w:type="continuationSeparator" w:id="0">
    <w:p w14:paraId="6DF2E50B" w14:textId="77777777" w:rsidR="00EB6DB5" w:rsidRDefault="00EB6DB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71596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608BD" w14:textId="77777777" w:rsidR="00EB6DB5" w:rsidRDefault="00EB6DB5" w:rsidP="00EA6B59">
      <w:pPr>
        <w:spacing w:after="0" w:line="240" w:lineRule="auto"/>
      </w:pPr>
      <w:r>
        <w:separator/>
      </w:r>
    </w:p>
  </w:footnote>
  <w:footnote w:type="continuationSeparator" w:id="0">
    <w:p w14:paraId="6654FD97" w14:textId="77777777" w:rsidR="00EB6DB5" w:rsidRDefault="00EB6DB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0582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366D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682"/>
    <w:rsid w:val="00267BD7"/>
    <w:rsid w:val="002A0B70"/>
    <w:rsid w:val="002A7BE1"/>
    <w:rsid w:val="002B5D34"/>
    <w:rsid w:val="002B6B1B"/>
    <w:rsid w:val="002E387B"/>
    <w:rsid w:val="002F560C"/>
    <w:rsid w:val="00302298"/>
    <w:rsid w:val="00313E59"/>
    <w:rsid w:val="00315742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0AE1"/>
    <w:rsid w:val="00395686"/>
    <w:rsid w:val="003A164E"/>
    <w:rsid w:val="003B204E"/>
    <w:rsid w:val="003B455F"/>
    <w:rsid w:val="003C122F"/>
    <w:rsid w:val="003C45DC"/>
    <w:rsid w:val="003D38B7"/>
    <w:rsid w:val="003D5E3F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2D71"/>
    <w:rsid w:val="004F313A"/>
    <w:rsid w:val="004F6FD1"/>
    <w:rsid w:val="00502994"/>
    <w:rsid w:val="00502DFB"/>
    <w:rsid w:val="00513CAC"/>
    <w:rsid w:val="00532B4C"/>
    <w:rsid w:val="00545862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A7583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1596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6D1"/>
    <w:rsid w:val="00784833"/>
    <w:rsid w:val="007965CB"/>
    <w:rsid w:val="0079722F"/>
    <w:rsid w:val="007A4173"/>
    <w:rsid w:val="007A6552"/>
    <w:rsid w:val="007B42E0"/>
    <w:rsid w:val="007B5A72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84BA0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C3FC5"/>
    <w:rsid w:val="009E2D62"/>
    <w:rsid w:val="009E554F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5512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DB5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221D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64BB77E-E0B3-4F1B-9C85-F89ECF19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31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13</cp:revision>
  <dcterms:created xsi:type="dcterms:W3CDTF">2025-05-15T12:25:00Z</dcterms:created>
  <dcterms:modified xsi:type="dcterms:W3CDTF">2025-07-31T14:44:00Z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